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Securities: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1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333-281614-02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December 1, 2025</w:t>
      </w:r>
    </w:p>
    <w:p>
      <w:pPr>
        <w:spacing w:after="0" w:line="200" w:lineRule="exact"/>
        <w:rPr>
          <w:sz w:val="24"/>
          <w:szCs w:val="24"/>
          <w:color w:val="auto"/>
        </w:rPr>
      </w:pPr>
    </w:p>
    <w:p>
      <w:pPr>
        <w:spacing w:after="0" w:line="219"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u w:val="single" w:color="auto"/>
          <w:color w:val="auto"/>
        </w:rPr>
        <w:t>Final Term Sheet</w:t>
      </w:r>
    </w:p>
    <w:p>
      <w:pPr>
        <w:spacing w:after="0" w:line="225"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31"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color w:val="auto"/>
        </w:rPr>
        <w:t>First Mortgage Bonds, 5.25% Series due 2035 (the “bonds”)</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5, 2025 (T+4)</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Moody’s Investors Service, Inc.: A2 (stable)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S&amp;P Global Ratings: A (stable)</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First Mortgage Bonds, 5.25% Series due 2035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$300,000,000</w:t>
      </w:r>
    </w:p>
    <w:p>
      <w:pPr>
        <w:spacing w:after="0" w:line="13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bonds offered hereby will constitute a reopening of the Issuer’s First Mortgage Bonds, 5.25% Series due 2035, of which $300,000,000 was previously issued on March 13, 2025, for a total aggregate principal amount of $600,000,000 upon the issuance of the bonds</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15, 2035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Semi-annually on March 15 and September 15, beginning on March 15, 2026</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5.25%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4.000% due November 15, 2035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99-07 / 4.096%</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+90 basis points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4.996%</w:t>
      </w:r>
    </w:p>
    <w:p>
      <w:pPr>
        <w:spacing w:after="0" w:line="117"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101.825% of the principal amount, plus pre-issuance accrued and unpaid interest on the bonds from, and including, September 15, 2025 to, but excluding, the Settlement Date (the total amount of such interest on December 5, 2025 will be $3,500,000)</w:t>
      </w:r>
    </w:p>
    <w:p>
      <w:pPr>
        <w:spacing w:after="0" w:line="200" w:lineRule="exact"/>
        <w:rPr>
          <w:sz w:val="24"/>
          <w:szCs w:val="24"/>
          <w:color w:val="auto"/>
        </w:rPr>
      </w:pPr>
    </w:p>
    <w:p>
      <w:pPr>
        <w:spacing w:after="0" w:line="232" w:lineRule="exact"/>
        <w:rPr>
          <w:sz w:val="24"/>
          <w:szCs w:val="24"/>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Prior to December 15, 2034 (the date that is three months prior to the maturity date of the bonds (the “Par Call Date”)), the Issuer may redeem the bonds at its option, in whole or in part, at any time and from time to time, at a redemption price (expressed as a percentage of principal amount and rounded to three decimal places) equal to the greater of: (i)(a) the sum of the present values of the remaining scheduled payments of principal</w:t>
      </w:r>
    </w:p>
    <w:p>
      <w:pPr>
        <w:sectPr>
          <w:pgSz w:w="11900" w:h="16838" w:orient="portrait"/>
          <w:cols w:equalWidth="0" w:num="2">
            <w:col w:w="2480" w:space="720"/>
            <w:col w:w="7820"/>
          </w:cols>
          <w:pgMar w:left="440" w:top="225" w:right="439" w:bottom="1440" w:gutter="0" w:footer="0" w:header="0"/>
        </w:sectPr>
      </w:pPr>
    </w:p>
    <w:bookmarkStart w:id="1" w:name="page2"/>
    <w:bookmarkEnd w:id="1"/>
    <w:p>
      <w:pPr>
        <w:ind w:left="320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interest on the bonds discounted to the redemption date (assuming the bonds matured on the Par Call Date) on a semi-annual basis (assuming a 360-day year consisting of twelve 30-day months) at the Treasury Rate plus 15 basis points less (b) interest accrued to the redemption date; and (ii) 100% of the principal amount of the bonds to be redeemed, plus, in either case, accrued and unpaid interest thereon to, but excluding, the redemption date</w:t>
      </w:r>
    </w:p>
    <w:p>
      <w:pPr>
        <w:sectPr>
          <w:pgSz w:w="11900" w:h="16838" w:orient="portrait"/>
          <w:cols w:equalWidth="0" w:num="1">
            <w:col w:w="10984"/>
          </w:cols>
          <w:pgMar w:left="436" w:top="270" w:right="479" w:bottom="1440" w:gutter="0" w:footer="0" w:header="0"/>
        </w:sectPr>
      </w:pPr>
    </w:p>
    <w:p>
      <w:pPr>
        <w:spacing w:after="0" w:line="7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bonds at its option, in whole or in part, at any time and from time to time, at a redemption price equal to 100% of the principal amount of the bonds to be redeemed, plus accrued and unpaid interest thereon to, but excluding, the redemption date</w:t>
      </w:r>
    </w:p>
    <w:p>
      <w:pPr>
        <w:spacing w:after="0" w:line="68"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30036F AD3 / US30036FAD33</w:t>
      </w:r>
    </w:p>
    <w:p>
      <w:pPr>
        <w:spacing w:after="0" w:line="129"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BNY Mellon Capital Markets,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A. Ramirez &amp; Company, Inc.</w:t>
      </w:r>
    </w:p>
    <w:p>
      <w:pPr>
        <w:spacing w:after="0" w:line="200"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Issuer has filed a registration statement (including a prospectus) with the SEC for the offering to which this communication relates (File</w:t>
      </w:r>
    </w:p>
    <w:p>
      <w:pPr>
        <w:spacing w:after="0" w:line="27"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color w:val="auto"/>
        </w:rPr>
        <w:t>No. 333-281614-02).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BNY Mellon Capital Markets, LLC, Regions Securities LLC, TD Securities (USA) LLC and Wells Fargo Securities, LLC can arrange to send you the prospectus if you request it by calling BNY Mellon Capital Markets, LLC toll-free at 1-800-269-6864, Regions Securities LLC toll free at 1-800-734-4667, TD Securities (USA) LLC toll-free at 1-855-495-9846 or Wells Fargo Securities, LLC toll-free at 1-800-645-3751.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delivery of the bonds will be made against payment therefor on or about December 5, 2025, which will be the fourth business</w:t>
      </w:r>
    </w:p>
    <w:p>
      <w:pPr>
        <w:spacing w:after="0" w:line="27" w:lineRule="exact"/>
        <w:rPr>
          <w:sz w:val="20"/>
          <w:szCs w:val="20"/>
          <w:color w:val="auto"/>
        </w:rPr>
      </w:pPr>
    </w:p>
    <w:p>
      <w:pPr>
        <w:ind w:left="424" w:right="60"/>
        <w:spacing w:after="0" w:line="250" w:lineRule="auto"/>
        <w:rPr>
          <w:sz w:val="20"/>
          <w:szCs w:val="20"/>
          <w:color w:val="auto"/>
        </w:rPr>
      </w:pPr>
      <w:r>
        <w:rPr>
          <w:rFonts w:ascii="Times New Roman" w:cs="Times New Roman" w:eastAsia="Times New Roman" w:hAnsi="Times New Roman"/>
          <w:sz w:val="18"/>
          <w:szCs w:val="18"/>
          <w:color w:val="auto"/>
        </w:rPr>
        <w:t>day (T+4) following the date hereof. Under Rule 15c6-1 under the Securities Exchange Act of 1934,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 and should consult their own advisors.</w:t>
      </w:r>
    </w:p>
    <w:p>
      <w:pPr>
        <w:spacing w:after="0" w:line="2" w:lineRule="exact"/>
        <w:rPr>
          <w:sz w:val="20"/>
          <w:szCs w:val="20"/>
          <w:color w:val="auto"/>
        </w:rPr>
      </w:pPr>
    </w:p>
    <w:p>
      <w:pPr>
        <w:ind w:left="5464" w:right="1120" w:hanging="5464"/>
        <w:spacing w:after="0" w:line="433" w:lineRule="auto"/>
        <w:tabs>
          <w:tab w:leader="none" w:pos="4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 2</w:t>
      </w:r>
    </w:p>
    <w:sectPr>
      <w:pgSz w:w="11900" w:h="16838" w:orient="portrait"/>
      <w:cols w:equalWidth="0" w:num="1">
        <w:col w:w="10984"/>
      </w:cols>
      <w:pgMar w:left="436"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2025-12-01T16:13:11Z</dcterms:created>
  <dcterms:modified xsi:type="dcterms:W3CDTF">2025-12-01T16:13:11Z</dcterms:modified>
</cp:coreProperties>
</file>